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C2A75" w14:textId="77777777" w:rsidR="001D17F5" w:rsidRPr="001D17F5" w:rsidRDefault="001D17F5" w:rsidP="001D17F5">
      <w:pPr>
        <w:shd w:val="clear" w:color="auto" w:fill="FFFFFF"/>
        <w:spacing w:after="0" w:line="240" w:lineRule="auto"/>
        <w:textAlignment w:val="baseline"/>
        <w:rPr>
          <w:rFonts w:ascii="Segoe UI" w:eastAsia="Times New Roman" w:hAnsi="Segoe UI" w:cs="Segoe UI"/>
          <w:color w:val="201F1E"/>
          <w:sz w:val="23"/>
          <w:szCs w:val="23"/>
          <w:lang w:eastAsia="en-GB"/>
        </w:rPr>
      </w:pPr>
    </w:p>
    <w:tbl>
      <w:tblPr>
        <w:tblW w:w="5000" w:type="pct"/>
        <w:tblCellMar>
          <w:left w:w="0" w:type="dxa"/>
          <w:right w:w="0" w:type="dxa"/>
        </w:tblCellMar>
        <w:tblLook w:val="04A0" w:firstRow="1" w:lastRow="0" w:firstColumn="1" w:lastColumn="0" w:noHBand="0" w:noVBand="1"/>
      </w:tblPr>
      <w:tblGrid>
        <w:gridCol w:w="9026"/>
      </w:tblGrid>
      <w:tr w:rsidR="001D17F5" w:rsidRPr="001D17F5" w14:paraId="2B17586A" w14:textId="77777777" w:rsidTr="001D17F5">
        <w:tc>
          <w:tcPr>
            <w:tcW w:w="0" w:type="auto"/>
            <w:hideMark/>
          </w:tcPr>
          <w:tbl>
            <w:tblPr>
              <w:tblW w:w="9600" w:type="dxa"/>
              <w:jc w:val="center"/>
              <w:tblCellMar>
                <w:left w:w="0" w:type="dxa"/>
                <w:right w:w="0" w:type="dxa"/>
              </w:tblCellMar>
              <w:tblLook w:val="04A0" w:firstRow="1" w:lastRow="0" w:firstColumn="1" w:lastColumn="0" w:noHBand="0" w:noVBand="1"/>
            </w:tblPr>
            <w:tblGrid>
              <w:gridCol w:w="9600"/>
            </w:tblGrid>
            <w:tr w:rsidR="001D17F5" w:rsidRPr="001D17F5" w14:paraId="285A2DC0" w14:textId="77777777">
              <w:trPr>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D17F5" w:rsidRPr="001D17F5" w14:paraId="00E2D5D9" w14:textId="77777777">
                    <w:trPr>
                      <w:trHeight w:val="225"/>
                      <w:tblCellSpacing w:w="0" w:type="dxa"/>
                      <w:jc w:val="center"/>
                    </w:trPr>
                    <w:tc>
                      <w:tcPr>
                        <w:tcW w:w="0" w:type="auto"/>
                        <w:vAlign w:val="center"/>
                        <w:hideMark/>
                      </w:tcPr>
                      <w:p w14:paraId="6DF591AF" w14:textId="77777777" w:rsidR="001D17F5" w:rsidRPr="001D17F5" w:rsidRDefault="001D17F5" w:rsidP="001D17F5">
                        <w:pPr>
                          <w:spacing w:after="0" w:line="240" w:lineRule="auto"/>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r w:rsidR="001D17F5" w:rsidRPr="001D17F5" w14:paraId="43AF0EB4" w14:textId="77777777">
                    <w:trPr>
                      <w:tblCellSpacing w:w="0" w:type="dxa"/>
                      <w:jc w:val="center"/>
                    </w:trPr>
                    <w:tc>
                      <w:tcPr>
                        <w:tcW w:w="1800" w:type="dxa"/>
                        <w:hideMark/>
                      </w:tcPr>
                      <w:p w14:paraId="19328F45" w14:textId="210CB739" w:rsidR="001D17F5" w:rsidRPr="001D17F5" w:rsidRDefault="001D17F5" w:rsidP="001D17F5">
                        <w:pPr>
                          <w:spacing w:after="0" w:line="240" w:lineRule="auto"/>
                          <w:textAlignment w:val="baseline"/>
                          <w:rPr>
                            <w:rFonts w:ascii="Calibri" w:eastAsia="Times New Roman" w:hAnsi="Calibri" w:cs="Calibri"/>
                            <w:lang w:eastAsia="en-GB"/>
                          </w:rPr>
                        </w:pPr>
                        <w:r w:rsidRPr="001D17F5">
                          <w:rPr>
                            <w:noProof/>
                          </w:rPr>
                          <w:drawing>
                            <wp:inline distT="0" distB="0" distL="0" distR="0" wp14:anchorId="418ECA85" wp14:editId="250DE4BC">
                              <wp:extent cx="1447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tc>
                  </w:tr>
                  <w:tr w:rsidR="001D17F5" w:rsidRPr="001D17F5" w14:paraId="33D43329" w14:textId="77777777">
                    <w:trPr>
                      <w:trHeight w:val="225"/>
                      <w:tblCellSpacing w:w="0" w:type="dxa"/>
                      <w:jc w:val="center"/>
                    </w:trPr>
                    <w:tc>
                      <w:tcPr>
                        <w:tcW w:w="0" w:type="auto"/>
                        <w:vAlign w:val="center"/>
                        <w:hideMark/>
                      </w:tcPr>
                      <w:p w14:paraId="2DD3DD0E" w14:textId="77777777" w:rsidR="001D17F5" w:rsidRPr="001D17F5" w:rsidRDefault="001D17F5" w:rsidP="001D17F5">
                        <w:pPr>
                          <w:spacing w:after="0" w:line="240" w:lineRule="auto"/>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bl>
                <w:p w14:paraId="6EBB73E6"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bl>
          <w:p w14:paraId="2699E782" w14:textId="77777777" w:rsidR="001D17F5" w:rsidRPr="001D17F5" w:rsidRDefault="001D17F5" w:rsidP="001D17F5">
            <w:pPr>
              <w:spacing w:after="0" w:line="240" w:lineRule="auto"/>
              <w:rPr>
                <w:rFonts w:ascii="Calibri" w:eastAsia="Times New Roman" w:hAnsi="Calibri" w:cs="Calibri"/>
                <w:lang w:eastAsia="en-GB"/>
              </w:rPr>
            </w:pPr>
            <w:r w:rsidRPr="001D17F5">
              <w:rPr>
                <w:rFonts w:ascii="Calibri" w:eastAsia="Times New Roman" w:hAnsi="Calibri" w:cs="Calibri"/>
                <w:lang w:eastAsia="en-GB"/>
              </w:rPr>
              <w:t> </w:t>
            </w:r>
          </w:p>
          <w:tbl>
            <w:tblPr>
              <w:tblW w:w="9600" w:type="dxa"/>
              <w:jc w:val="center"/>
              <w:tblCellMar>
                <w:left w:w="0" w:type="dxa"/>
                <w:right w:w="0" w:type="dxa"/>
              </w:tblCellMar>
              <w:tblLook w:val="04A0" w:firstRow="1" w:lastRow="0" w:firstColumn="1" w:lastColumn="0" w:noHBand="0" w:noVBand="1"/>
            </w:tblPr>
            <w:tblGrid>
              <w:gridCol w:w="9600"/>
            </w:tblGrid>
            <w:tr w:rsidR="001D17F5" w:rsidRPr="001D17F5" w14:paraId="162ADD6B"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600"/>
                  </w:tblGrid>
                  <w:tr w:rsidR="001D17F5" w:rsidRPr="001D17F5" w14:paraId="363012B7" w14:textId="77777777">
                    <w:trPr>
                      <w:jc w:val="center"/>
                    </w:trPr>
                    <w:tc>
                      <w:tcPr>
                        <w:tcW w:w="0" w:type="auto"/>
                        <w:shd w:val="clear" w:color="auto" w:fill="172251"/>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1D17F5" w:rsidRPr="001D17F5" w14:paraId="0632E75D" w14:textId="77777777">
                          <w:trPr>
                            <w:trHeight w:val="150"/>
                            <w:tblCellSpacing w:w="0" w:type="dxa"/>
                          </w:trPr>
                          <w:tc>
                            <w:tcPr>
                              <w:tcW w:w="0" w:type="auto"/>
                              <w:vAlign w:val="center"/>
                              <w:hideMark/>
                            </w:tcPr>
                            <w:p w14:paraId="79532803" w14:textId="77777777" w:rsidR="001D17F5" w:rsidRPr="001D17F5" w:rsidRDefault="001D17F5" w:rsidP="001D17F5">
                              <w:pPr>
                                <w:spacing w:after="0" w:line="240" w:lineRule="auto"/>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bl>
                      <w:p w14:paraId="69E2A064" w14:textId="77777777" w:rsidR="001D17F5" w:rsidRPr="001D17F5" w:rsidRDefault="001D17F5" w:rsidP="001D17F5">
                        <w:pPr>
                          <w:spacing w:after="0" w:line="240" w:lineRule="auto"/>
                          <w:rPr>
                            <w:rFonts w:ascii="Times New Roman" w:eastAsia="Times New Roman" w:hAnsi="Times New Roman" w:cs="Times New Roman"/>
                            <w:sz w:val="24"/>
                            <w:szCs w:val="24"/>
                            <w:lang w:eastAsia="en-GB"/>
                          </w:rPr>
                        </w:pPr>
                      </w:p>
                    </w:tc>
                  </w:tr>
                </w:tbl>
                <w:p w14:paraId="6D4AD004" w14:textId="77777777" w:rsidR="001D17F5" w:rsidRPr="001D17F5" w:rsidRDefault="001D17F5" w:rsidP="001D17F5">
                  <w:pPr>
                    <w:spacing w:after="0" w:line="240" w:lineRule="auto"/>
                    <w:rPr>
                      <w:rFonts w:ascii="Calibri" w:eastAsia="Times New Roman" w:hAnsi="Calibri" w:cs="Calibri"/>
                      <w:lang w:eastAsia="en-GB"/>
                    </w:rPr>
                  </w:pPr>
                  <w:r w:rsidRPr="001D17F5">
                    <w:rPr>
                      <w:rFonts w:ascii="Calibri" w:eastAsia="Times New Roman" w:hAnsi="Calibri" w:cs="Calibri"/>
                      <w:lang w:eastAsia="en-GB"/>
                    </w:rPr>
                    <w:t> </w:t>
                  </w:r>
                </w:p>
                <w:tbl>
                  <w:tblPr>
                    <w:tblW w:w="5000" w:type="pct"/>
                    <w:jc w:val="center"/>
                    <w:tblCellMar>
                      <w:left w:w="0" w:type="dxa"/>
                      <w:right w:w="0" w:type="dxa"/>
                    </w:tblCellMar>
                    <w:tblLook w:val="04A0" w:firstRow="1" w:lastRow="0" w:firstColumn="1" w:lastColumn="0" w:noHBand="0" w:noVBand="1"/>
                  </w:tblPr>
                  <w:tblGrid>
                    <w:gridCol w:w="9600"/>
                  </w:tblGrid>
                  <w:tr w:rsidR="001D17F5" w:rsidRPr="001D17F5" w14:paraId="1AF2FB5A"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D17F5" w:rsidRPr="001D17F5" w14:paraId="2F72FFD8" w14:textId="77777777">
                          <w:trPr>
                            <w:trHeight w:val="300"/>
                            <w:jc w:val="center"/>
                          </w:trPr>
                          <w:tc>
                            <w:tcPr>
                              <w:tcW w:w="0" w:type="auto"/>
                              <w:vAlign w:val="center"/>
                              <w:hideMark/>
                            </w:tcPr>
                            <w:p w14:paraId="6A1B2BFA"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r w:rsidR="001D17F5" w:rsidRPr="001D17F5" w14:paraId="1982D5F3" w14:textId="77777777">
                          <w:trPr>
                            <w:jc w:val="center"/>
                          </w:trPr>
                          <w:tc>
                            <w:tcPr>
                              <w:tcW w:w="0" w:type="auto"/>
                              <w:hideMark/>
                            </w:tcPr>
                            <w:p w14:paraId="69CDDC21" w14:textId="77777777" w:rsidR="001D17F5" w:rsidRPr="001D17F5" w:rsidRDefault="001D17F5" w:rsidP="001D17F5">
                              <w:pPr>
                                <w:spacing w:beforeAutospacing="1" w:after="0" w:afterAutospacing="1" w:line="39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b/>
                                  <w:bCs/>
                                  <w:color w:val="000000"/>
                                  <w:sz w:val="30"/>
                                  <w:szCs w:val="30"/>
                                  <w:bdr w:val="none" w:sz="0" w:space="0" w:color="auto" w:frame="1"/>
                                  <w:lang w:eastAsia="en-GB"/>
                                </w:rPr>
                                <w:t>Reminder of contingency plans for 2022 exams</w:t>
                              </w:r>
                            </w:p>
                          </w:tc>
                        </w:tr>
                        <w:tr w:rsidR="001D17F5" w:rsidRPr="001D17F5" w14:paraId="54ECAE5F" w14:textId="77777777">
                          <w:trPr>
                            <w:trHeight w:val="300"/>
                            <w:jc w:val="center"/>
                          </w:trPr>
                          <w:tc>
                            <w:tcPr>
                              <w:tcW w:w="0" w:type="auto"/>
                              <w:vAlign w:val="center"/>
                              <w:hideMark/>
                            </w:tcPr>
                            <w:p w14:paraId="4B569DB3"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r w:rsidR="001D17F5" w:rsidRPr="001D17F5" w14:paraId="3914E11D" w14:textId="77777777">
                          <w:trPr>
                            <w:jc w:val="center"/>
                          </w:trPr>
                          <w:tc>
                            <w:tcPr>
                              <w:tcW w:w="0" w:type="auto"/>
                              <w:hideMark/>
                            </w:tcPr>
                            <w:p w14:paraId="16EA6441"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b/>
                                  <w:bCs/>
                                  <w:color w:val="000000"/>
                                  <w:sz w:val="21"/>
                                  <w:szCs w:val="21"/>
                                  <w:bdr w:val="none" w:sz="0" w:space="0" w:color="auto" w:frame="1"/>
                                  <w:lang w:eastAsia="en-GB"/>
                                </w:rPr>
                                <w:t>Monday 13 December 2021</w:t>
                              </w:r>
                            </w:p>
                          </w:tc>
                        </w:tr>
                        <w:tr w:rsidR="001D17F5" w:rsidRPr="001D17F5" w14:paraId="16ACFA0B" w14:textId="77777777">
                          <w:trPr>
                            <w:trHeight w:val="300"/>
                            <w:jc w:val="center"/>
                          </w:trPr>
                          <w:tc>
                            <w:tcPr>
                              <w:tcW w:w="0" w:type="auto"/>
                              <w:vAlign w:val="center"/>
                              <w:hideMark/>
                            </w:tcPr>
                            <w:p w14:paraId="710CE4A8"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bl>
                      <w:p w14:paraId="050138F6"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bl>
                <w:p w14:paraId="76A17832" w14:textId="77777777" w:rsidR="001D17F5" w:rsidRPr="001D17F5" w:rsidRDefault="001D17F5" w:rsidP="001D17F5">
                  <w:pPr>
                    <w:spacing w:after="0" w:line="240" w:lineRule="auto"/>
                    <w:rPr>
                      <w:rFonts w:ascii="Calibri" w:eastAsia="Times New Roman" w:hAnsi="Calibri" w:cs="Calibri"/>
                      <w:lang w:eastAsia="en-GB"/>
                    </w:rPr>
                  </w:pPr>
                  <w:r w:rsidRPr="001D17F5">
                    <w:rPr>
                      <w:rFonts w:ascii="Calibri" w:eastAsia="Times New Roman" w:hAnsi="Calibri" w:cs="Calibri"/>
                      <w:lang w:eastAsia="en-GB"/>
                    </w:rPr>
                    <w:t> </w:t>
                  </w:r>
                </w:p>
                <w:tbl>
                  <w:tblPr>
                    <w:tblW w:w="5000" w:type="pct"/>
                    <w:jc w:val="center"/>
                    <w:tblCellMar>
                      <w:left w:w="0" w:type="dxa"/>
                      <w:right w:w="0" w:type="dxa"/>
                    </w:tblCellMar>
                    <w:tblLook w:val="04A0" w:firstRow="1" w:lastRow="0" w:firstColumn="1" w:lastColumn="0" w:noHBand="0" w:noVBand="1"/>
                  </w:tblPr>
                  <w:tblGrid>
                    <w:gridCol w:w="9600"/>
                  </w:tblGrid>
                  <w:tr w:rsidR="001D17F5" w:rsidRPr="001D17F5" w14:paraId="4CAA203E"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D17F5" w:rsidRPr="001D17F5" w14:paraId="5B7DE9E7" w14:textId="77777777">
                          <w:trPr>
                            <w:trHeight w:val="300"/>
                            <w:jc w:val="center"/>
                          </w:trPr>
                          <w:tc>
                            <w:tcPr>
                              <w:tcW w:w="0" w:type="auto"/>
                              <w:vAlign w:val="center"/>
                              <w:hideMark/>
                            </w:tcPr>
                            <w:p w14:paraId="2B8D0177"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r w:rsidR="001D17F5" w:rsidRPr="001D17F5" w14:paraId="781A73C3" w14:textId="77777777">
                          <w:trPr>
                            <w:jc w:val="center"/>
                          </w:trPr>
                          <w:tc>
                            <w:tcPr>
                              <w:tcW w:w="0" w:type="auto"/>
                              <w:hideMark/>
                            </w:tcPr>
                            <w:p w14:paraId="08831B30"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Following the emergence of the Omicron variant, SQA has received questions from centres, parents and learners about its plans for exams in 2022. This follows the statement given by the First Minister last week.</w:t>
                              </w:r>
                            </w:p>
                            <w:p w14:paraId="28B6B2DE"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We want to reassure you that SQA has robust contingency plans in place that support learners, parents, carers, teachers and lecturers over the coming months, and that we are continuing to work closely with the Scottish Government’s COVID-19 Education Recovery Group, and the National Qualifications 2022 (NQ22) Group, which includes learner, parent and carer representatives, professional associations and education leaders.</w:t>
                              </w:r>
                            </w:p>
                            <w:p w14:paraId="03F8AB7F"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When the Scottish Government confirmed its intention for national exams to take place in 2022, we outlined plans detailing three scenarios. We are currently in </w:t>
                              </w:r>
                              <w:r w:rsidRPr="001D17F5">
                                <w:rPr>
                                  <w:rFonts w:ascii="Arial" w:eastAsia="Times New Roman" w:hAnsi="Arial" w:cs="Arial"/>
                                  <w:b/>
                                  <w:bCs/>
                                  <w:color w:val="000000"/>
                                  <w:sz w:val="21"/>
                                  <w:szCs w:val="21"/>
                                  <w:bdr w:val="none" w:sz="0" w:space="0" w:color="auto" w:frame="1"/>
                                  <w:lang w:eastAsia="en-GB"/>
                                </w:rPr>
                                <w:t>Scenario 1</w:t>
                              </w:r>
                              <w:r w:rsidRPr="001D17F5">
                                <w:rPr>
                                  <w:rFonts w:ascii="Arial" w:eastAsia="Times New Roman" w:hAnsi="Arial" w:cs="Arial"/>
                                  <w:color w:val="000000"/>
                                  <w:sz w:val="21"/>
                                  <w:szCs w:val="21"/>
                                  <w:bdr w:val="none" w:sz="0" w:space="0" w:color="auto" w:frame="1"/>
                                  <w:lang w:eastAsia="en-GB"/>
                                </w:rPr>
                                <w:t>; preparing for the national exam diet with significant modifications to the 2021-22 course assessments – coursework and/or exams – which were announced at the start of the session. These assessment modifications are in place to help learners by taking account of disruption to learning caused by the pandemic.</w:t>
                              </w:r>
                            </w:p>
                            <w:p w14:paraId="75D7C721"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Should there be significantly more disruption to learning and teaching across the country, we will enter </w:t>
                              </w:r>
                              <w:r w:rsidRPr="001D17F5">
                                <w:rPr>
                                  <w:rFonts w:ascii="Arial" w:eastAsia="Times New Roman" w:hAnsi="Arial" w:cs="Arial"/>
                                  <w:b/>
                                  <w:bCs/>
                                  <w:color w:val="000000"/>
                                  <w:sz w:val="21"/>
                                  <w:szCs w:val="21"/>
                                  <w:bdr w:val="none" w:sz="0" w:space="0" w:color="auto" w:frame="1"/>
                                  <w:lang w:eastAsia="en-GB"/>
                                </w:rPr>
                                <w:t>Scenario 2</w:t>
                              </w:r>
                              <w:r w:rsidRPr="001D17F5">
                                <w:rPr>
                                  <w:rFonts w:ascii="Arial" w:eastAsia="Times New Roman" w:hAnsi="Arial" w:cs="Arial"/>
                                  <w:color w:val="000000"/>
                                  <w:sz w:val="21"/>
                                  <w:szCs w:val="21"/>
                                  <w:bdr w:val="none" w:sz="0" w:space="0" w:color="auto" w:frame="1"/>
                                  <w:lang w:eastAsia="en-GB"/>
                                </w:rPr>
                                <w:t> where we will provide additional support for learners to help them prepare and revise for the 2022 exams, where that is possible. Not all courses will have revision support as some do not have an exam in 2022, or the exam has been reduced in size through the modifications we have already made. However, in this situation, the vast majority of learners will receive help from revision support in one or more of their courses. There will not be any further modifications made to the actual course assessments.</w:t>
                              </w:r>
                            </w:p>
                            <w:p w14:paraId="71FF2C54"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Should the Scottish Government cancel the exams due to public health restrictions at the time of exams, we will enter </w:t>
                              </w:r>
                              <w:r w:rsidRPr="001D17F5">
                                <w:rPr>
                                  <w:rFonts w:ascii="Arial" w:eastAsia="Times New Roman" w:hAnsi="Arial" w:cs="Arial"/>
                                  <w:b/>
                                  <w:bCs/>
                                  <w:color w:val="000000"/>
                                  <w:sz w:val="21"/>
                                  <w:szCs w:val="21"/>
                                  <w:bdr w:val="none" w:sz="0" w:space="0" w:color="auto" w:frame="1"/>
                                  <w:lang w:eastAsia="en-GB"/>
                                </w:rPr>
                                <w:t>Scenario 3</w:t>
                              </w:r>
                              <w:r w:rsidRPr="001D17F5">
                                <w:rPr>
                                  <w:rFonts w:ascii="Arial" w:eastAsia="Times New Roman" w:hAnsi="Arial" w:cs="Arial"/>
                                  <w:color w:val="000000"/>
                                  <w:sz w:val="21"/>
                                  <w:szCs w:val="21"/>
                                  <w:bdr w:val="none" w:sz="0" w:space="0" w:color="auto" w:frame="1"/>
                                  <w:lang w:eastAsia="en-GB"/>
                                </w:rPr>
                                <w:t>. That means the evidence you are gathering through normal in-year assessment to determine your learners’ estimates can be used to form the basis of their provisional results.</w:t>
                              </w:r>
                            </w:p>
                            <w:p w14:paraId="65548FB8"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lastRenderedPageBreak/>
                                <w:t>We fully appreciate your efforts, expertise and commitment at this extremely challenging time.</w:t>
                              </w:r>
                            </w:p>
                          </w:tc>
                        </w:tr>
                        <w:tr w:rsidR="001D17F5" w:rsidRPr="001D17F5" w14:paraId="5B75BB1F" w14:textId="77777777">
                          <w:trPr>
                            <w:trHeight w:val="300"/>
                            <w:jc w:val="center"/>
                          </w:trPr>
                          <w:tc>
                            <w:tcPr>
                              <w:tcW w:w="0" w:type="auto"/>
                              <w:vAlign w:val="center"/>
                              <w:hideMark/>
                            </w:tcPr>
                            <w:p w14:paraId="29D7EB97"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lastRenderedPageBreak/>
                                <w:t> </w:t>
                              </w:r>
                            </w:p>
                          </w:tc>
                        </w:tr>
                      </w:tbl>
                      <w:p w14:paraId="4E98881A"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bl>
                <w:p w14:paraId="35A3B959" w14:textId="77777777" w:rsidR="001D17F5" w:rsidRPr="001D17F5" w:rsidRDefault="001D17F5" w:rsidP="001D17F5">
                  <w:pPr>
                    <w:spacing w:after="0" w:line="240" w:lineRule="auto"/>
                    <w:rPr>
                      <w:rFonts w:ascii="Calibri" w:eastAsia="Times New Roman" w:hAnsi="Calibri" w:cs="Calibri"/>
                      <w:lang w:eastAsia="en-GB"/>
                    </w:rPr>
                  </w:pPr>
                  <w:r w:rsidRPr="001D17F5">
                    <w:rPr>
                      <w:rFonts w:ascii="Calibri" w:eastAsia="Times New Roman" w:hAnsi="Calibri" w:cs="Calibri"/>
                      <w:lang w:eastAsia="en-GB"/>
                    </w:rPr>
                    <w:lastRenderedPageBreak/>
                    <w:t> </w:t>
                  </w:r>
                </w:p>
                <w:tbl>
                  <w:tblPr>
                    <w:tblW w:w="5000" w:type="pct"/>
                    <w:jc w:val="center"/>
                    <w:tblCellMar>
                      <w:left w:w="0" w:type="dxa"/>
                      <w:right w:w="0" w:type="dxa"/>
                    </w:tblCellMar>
                    <w:tblLook w:val="04A0" w:firstRow="1" w:lastRow="0" w:firstColumn="1" w:lastColumn="0" w:noHBand="0" w:noVBand="1"/>
                  </w:tblPr>
                  <w:tblGrid>
                    <w:gridCol w:w="9600"/>
                  </w:tblGrid>
                  <w:tr w:rsidR="001D17F5" w:rsidRPr="001D17F5" w14:paraId="431CAB3B"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D17F5" w:rsidRPr="001D17F5" w14:paraId="5B5694F7" w14:textId="77777777">
                          <w:trPr>
                            <w:trHeight w:val="300"/>
                            <w:jc w:val="center"/>
                          </w:trPr>
                          <w:tc>
                            <w:tcPr>
                              <w:tcW w:w="0" w:type="auto"/>
                              <w:vAlign w:val="center"/>
                              <w:hideMark/>
                            </w:tcPr>
                            <w:p w14:paraId="650A6877"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r w:rsidR="001D17F5" w:rsidRPr="001D17F5" w14:paraId="6BC36EB2" w14:textId="77777777">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5443"/>
                              </w:tblGrid>
                              <w:tr w:rsidR="001D17F5" w:rsidRPr="001D17F5" w14:paraId="72CD5E61" w14:textId="77777777">
                                <w:trPr>
                                  <w:tblCellSpacing w:w="0" w:type="dxa"/>
                                  <w:jc w:val="center"/>
                                </w:trPr>
                                <w:tc>
                                  <w:tcPr>
                                    <w:tcW w:w="0" w:type="auto"/>
                                    <w:tcBorders>
                                      <w:top w:val="single" w:sz="8" w:space="0" w:color="F6C52A"/>
                                      <w:left w:val="single" w:sz="8" w:space="0" w:color="F6C52A"/>
                                      <w:bottom w:val="single" w:sz="8" w:space="0" w:color="F6C52A"/>
                                      <w:right w:val="single" w:sz="8" w:space="0" w:color="F6C52A"/>
                                    </w:tcBorders>
                                    <w:shd w:val="clear" w:color="auto" w:fill="F6C52A"/>
                                    <w:tcMar>
                                      <w:top w:w="135" w:type="dxa"/>
                                      <w:left w:w="600" w:type="dxa"/>
                                      <w:bottom w:w="120" w:type="dxa"/>
                                      <w:right w:w="600" w:type="dxa"/>
                                    </w:tcMar>
                                    <w:vAlign w:val="center"/>
                                    <w:hideMark/>
                                  </w:tcPr>
                                  <w:p w14:paraId="239DAB9D" w14:textId="77777777" w:rsidR="001D17F5" w:rsidRPr="001D17F5" w:rsidRDefault="001D17F5" w:rsidP="001D17F5">
                                    <w:pPr>
                                      <w:spacing w:after="0" w:line="330" w:lineRule="atLeast"/>
                                      <w:jc w:val="center"/>
                                      <w:rPr>
                                        <w:rFonts w:ascii="Calibri" w:eastAsia="Times New Roman" w:hAnsi="Calibri" w:cs="Calibri"/>
                                        <w:lang w:eastAsia="en-GB"/>
                                      </w:rPr>
                                    </w:pPr>
                                    <w:hyperlink r:id="rId5" w:tgtFrame="_blank" w:history="1">
                                      <w:r w:rsidRPr="001D17F5">
                                        <w:rPr>
                                          <w:rFonts w:ascii="Arial" w:eastAsia="Times New Roman" w:hAnsi="Arial" w:cs="Arial"/>
                                          <w:color w:val="000000"/>
                                          <w:sz w:val="24"/>
                                          <w:szCs w:val="24"/>
                                          <w:u w:val="single"/>
                                          <w:bdr w:val="none" w:sz="0" w:space="0" w:color="auto" w:frame="1"/>
                                          <w:lang w:eastAsia="en-GB"/>
                                        </w:rPr>
                                        <w:t>Read more about each of the scenarios</w:t>
                                      </w:r>
                                    </w:hyperlink>
                                  </w:p>
                                </w:tc>
                              </w:tr>
                            </w:tbl>
                            <w:p w14:paraId="4BAA9FDB"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r w:rsidR="001D17F5" w:rsidRPr="001D17F5" w14:paraId="4FFB30AC" w14:textId="77777777">
                          <w:trPr>
                            <w:trHeight w:val="300"/>
                            <w:jc w:val="center"/>
                          </w:trPr>
                          <w:tc>
                            <w:tcPr>
                              <w:tcW w:w="0" w:type="auto"/>
                              <w:vAlign w:val="center"/>
                              <w:hideMark/>
                            </w:tcPr>
                            <w:p w14:paraId="437A9036"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bl>
                      <w:p w14:paraId="72871424"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bl>
                <w:p w14:paraId="3DE1BD8A" w14:textId="77777777" w:rsidR="001D17F5" w:rsidRPr="001D17F5" w:rsidRDefault="001D17F5" w:rsidP="001D17F5">
                  <w:pPr>
                    <w:spacing w:after="0" w:line="240" w:lineRule="auto"/>
                    <w:rPr>
                      <w:rFonts w:ascii="Calibri" w:eastAsia="Times New Roman" w:hAnsi="Calibri" w:cs="Calibri"/>
                      <w:lang w:eastAsia="en-GB"/>
                    </w:rPr>
                  </w:pPr>
                  <w:r w:rsidRPr="001D17F5">
                    <w:rPr>
                      <w:rFonts w:ascii="Calibri" w:eastAsia="Times New Roman" w:hAnsi="Calibri" w:cs="Calibri"/>
                      <w:lang w:eastAsia="en-GB"/>
                    </w:rPr>
                    <w:t> </w:t>
                  </w:r>
                </w:p>
                <w:tbl>
                  <w:tblPr>
                    <w:tblW w:w="5000" w:type="pct"/>
                    <w:jc w:val="center"/>
                    <w:tblCellMar>
                      <w:left w:w="0" w:type="dxa"/>
                      <w:right w:w="0" w:type="dxa"/>
                    </w:tblCellMar>
                    <w:tblLook w:val="04A0" w:firstRow="1" w:lastRow="0" w:firstColumn="1" w:lastColumn="0" w:noHBand="0" w:noVBand="1"/>
                  </w:tblPr>
                  <w:tblGrid>
                    <w:gridCol w:w="9600"/>
                  </w:tblGrid>
                  <w:tr w:rsidR="001D17F5" w:rsidRPr="001D17F5" w14:paraId="00885188"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D17F5" w:rsidRPr="001D17F5" w14:paraId="345B592C" w14:textId="77777777">
                          <w:trPr>
                            <w:trHeight w:val="300"/>
                            <w:jc w:val="center"/>
                          </w:trPr>
                          <w:tc>
                            <w:tcPr>
                              <w:tcW w:w="0" w:type="auto"/>
                              <w:vAlign w:val="center"/>
                              <w:hideMark/>
                            </w:tcPr>
                            <w:p w14:paraId="18313F70"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r w:rsidR="001D17F5" w:rsidRPr="001D17F5" w14:paraId="2179364D" w14:textId="77777777">
                          <w:trPr>
                            <w:jc w:val="center"/>
                          </w:trPr>
                          <w:tc>
                            <w:tcPr>
                              <w:tcW w:w="0" w:type="auto"/>
                              <w:hideMark/>
                            </w:tcPr>
                            <w:p w14:paraId="2F78AA47"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b/>
                                  <w:bCs/>
                                  <w:color w:val="000000"/>
                                  <w:sz w:val="21"/>
                                  <w:szCs w:val="21"/>
                                  <w:bdr w:val="none" w:sz="0" w:space="0" w:color="auto" w:frame="1"/>
                                  <w:lang w:eastAsia="en-GB"/>
                                </w:rPr>
                                <w:t>Exceptional circumstances and appeals</w:t>
                              </w:r>
                            </w:p>
                            <w:p w14:paraId="43292F99"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Prior to the pandemic, when exams last took place, there were services available to support learners who, for example, were unable to sit exams due to circumstances out with their control in the run up to or on the day of their exam, or who received results that were not what they were expecting.</w:t>
                              </w:r>
                            </w:p>
                            <w:p w14:paraId="1E13D734"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We recognise the ongoing difficulties once again facing this year’s learners, most of whom will be sitting SQA exams for the first time, so we are planning to put similar support services in place for 2022.</w:t>
                              </w:r>
                            </w:p>
                            <w:p w14:paraId="7A339877"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We are discussing our plans for these support services with key stakeholders such as parents, carers, learners, teachers and lecturers as well as members of the NQ22 Group and will confirm our plans for these services as soon as possible in the new year.</w:t>
                              </w:r>
                            </w:p>
                            <w:p w14:paraId="286CFE60"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 </w:t>
                              </w:r>
                            </w:p>
                            <w:p w14:paraId="78676723"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b/>
                                  <w:bCs/>
                                  <w:color w:val="000000"/>
                                  <w:sz w:val="21"/>
                                  <w:szCs w:val="21"/>
                                  <w:bdr w:val="none" w:sz="0" w:space="0" w:color="auto" w:frame="1"/>
                                  <w:lang w:eastAsia="en-GB"/>
                                </w:rPr>
                                <w:t>Keeping you informed</w:t>
                              </w:r>
                            </w:p>
                            <w:p w14:paraId="31ECA7BF"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We want to thank you again for your professionalism, and your commitment to your learners, and we are extremely grateful for your hard work and support in delivering this year’s National Qualifications despite the continuing challenges and uncertainty you are experiencing.</w:t>
                              </w:r>
                            </w:p>
                            <w:p w14:paraId="5EEC11F1" w14:textId="77777777" w:rsidR="001D17F5" w:rsidRPr="001D17F5" w:rsidRDefault="001D17F5" w:rsidP="001D17F5">
                              <w:pPr>
                                <w:spacing w:beforeAutospacing="1" w:after="0" w:afterAutospacing="1" w:line="300" w:lineRule="atLeast"/>
                                <w:textAlignment w:val="baseline"/>
                                <w:rPr>
                                  <w:rFonts w:ascii="Times New Roman" w:eastAsia="Times New Roman" w:hAnsi="Times New Roman" w:cs="Times New Roman"/>
                                  <w:sz w:val="24"/>
                                  <w:szCs w:val="24"/>
                                  <w:lang w:eastAsia="en-GB"/>
                                </w:rPr>
                              </w:pPr>
                              <w:r w:rsidRPr="001D17F5">
                                <w:rPr>
                                  <w:rFonts w:ascii="Arial" w:eastAsia="Times New Roman" w:hAnsi="Arial" w:cs="Arial"/>
                                  <w:color w:val="000000"/>
                                  <w:sz w:val="21"/>
                                  <w:szCs w:val="21"/>
                                  <w:bdr w:val="none" w:sz="0" w:space="0" w:color="auto" w:frame="1"/>
                                  <w:lang w:eastAsia="en-GB"/>
                                </w:rPr>
                                <w:t>We will do our best to keep you informed as we progress through the session and wish you a safe and prosperous festive season.</w:t>
                              </w:r>
                            </w:p>
                          </w:tc>
                        </w:tr>
                        <w:tr w:rsidR="001D17F5" w:rsidRPr="001D17F5" w14:paraId="1C28CF43" w14:textId="77777777">
                          <w:trPr>
                            <w:trHeight w:val="300"/>
                            <w:jc w:val="center"/>
                          </w:trPr>
                          <w:tc>
                            <w:tcPr>
                              <w:tcW w:w="0" w:type="auto"/>
                              <w:vAlign w:val="center"/>
                              <w:hideMark/>
                            </w:tcPr>
                            <w:p w14:paraId="4224E317"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bl>
                      <w:p w14:paraId="64A3F203"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bl>
                <w:p w14:paraId="08AC8C3A" w14:textId="77777777" w:rsidR="001D17F5" w:rsidRPr="001D17F5" w:rsidRDefault="001D17F5" w:rsidP="001D17F5">
                  <w:pPr>
                    <w:spacing w:after="0" w:line="240" w:lineRule="auto"/>
                    <w:rPr>
                      <w:rFonts w:ascii="Calibri" w:eastAsia="Times New Roman" w:hAnsi="Calibri" w:cs="Calibri"/>
                      <w:lang w:eastAsia="en-GB"/>
                    </w:rPr>
                  </w:pPr>
                  <w:r w:rsidRPr="001D17F5">
                    <w:rPr>
                      <w:rFonts w:ascii="Calibri" w:eastAsia="Times New Roman" w:hAnsi="Calibri" w:cs="Calibri"/>
                      <w:lang w:eastAsia="en-GB"/>
                    </w:rPr>
                    <w:t> </w:t>
                  </w:r>
                </w:p>
                <w:tbl>
                  <w:tblPr>
                    <w:tblW w:w="5000" w:type="pct"/>
                    <w:jc w:val="center"/>
                    <w:tblCellMar>
                      <w:left w:w="0" w:type="dxa"/>
                      <w:right w:w="0" w:type="dxa"/>
                    </w:tblCellMar>
                    <w:tblLook w:val="04A0" w:firstRow="1" w:lastRow="0" w:firstColumn="1" w:lastColumn="0" w:noHBand="0" w:noVBand="1"/>
                  </w:tblPr>
                  <w:tblGrid>
                    <w:gridCol w:w="9600"/>
                  </w:tblGrid>
                  <w:tr w:rsidR="001D17F5" w:rsidRPr="001D17F5" w14:paraId="79C7B1CE" w14:textId="77777777">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D17F5" w:rsidRPr="001D17F5" w14:paraId="44BD81BB" w14:textId="77777777">
                          <w:trPr>
                            <w:trHeight w:val="300"/>
                            <w:jc w:val="center"/>
                          </w:trPr>
                          <w:tc>
                            <w:tcPr>
                              <w:tcW w:w="0" w:type="auto"/>
                              <w:vAlign w:val="center"/>
                              <w:hideMark/>
                            </w:tcPr>
                            <w:p w14:paraId="5E8C3AED"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r w:rsidR="001D17F5" w:rsidRPr="001D17F5" w14:paraId="54E437DF" w14:textId="77777777">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884"/>
                              </w:tblGrid>
                              <w:tr w:rsidR="001D17F5" w:rsidRPr="001D17F5" w14:paraId="2C9A4D48" w14:textId="77777777">
                                <w:trPr>
                                  <w:tblCellSpacing w:w="0" w:type="dxa"/>
                                  <w:jc w:val="center"/>
                                </w:trPr>
                                <w:tc>
                                  <w:tcPr>
                                    <w:tcW w:w="0" w:type="auto"/>
                                    <w:tcBorders>
                                      <w:top w:val="single" w:sz="8" w:space="0" w:color="F6C52A"/>
                                      <w:left w:val="single" w:sz="8" w:space="0" w:color="F6C52A"/>
                                      <w:bottom w:val="single" w:sz="8" w:space="0" w:color="F6C52A"/>
                                      <w:right w:val="single" w:sz="8" w:space="0" w:color="F6C52A"/>
                                    </w:tcBorders>
                                    <w:shd w:val="clear" w:color="auto" w:fill="F6C52A"/>
                                    <w:tcMar>
                                      <w:top w:w="135" w:type="dxa"/>
                                      <w:left w:w="600" w:type="dxa"/>
                                      <w:bottom w:w="120" w:type="dxa"/>
                                      <w:right w:w="600" w:type="dxa"/>
                                    </w:tcMar>
                                    <w:vAlign w:val="center"/>
                                    <w:hideMark/>
                                  </w:tcPr>
                                  <w:p w14:paraId="3526CD2F" w14:textId="77777777" w:rsidR="001D17F5" w:rsidRPr="001D17F5" w:rsidRDefault="001D17F5" w:rsidP="001D17F5">
                                    <w:pPr>
                                      <w:spacing w:after="0" w:line="330" w:lineRule="atLeast"/>
                                      <w:jc w:val="center"/>
                                      <w:rPr>
                                        <w:rFonts w:ascii="Calibri" w:eastAsia="Times New Roman" w:hAnsi="Calibri" w:cs="Calibri"/>
                                        <w:lang w:eastAsia="en-GB"/>
                                      </w:rPr>
                                    </w:pPr>
                                    <w:hyperlink r:id="rId6" w:tgtFrame="_blank" w:history="1">
                                      <w:r w:rsidRPr="001D17F5">
                                        <w:rPr>
                                          <w:rFonts w:ascii="Arial" w:eastAsia="Times New Roman" w:hAnsi="Arial" w:cs="Arial"/>
                                          <w:color w:val="000000"/>
                                          <w:sz w:val="24"/>
                                          <w:szCs w:val="24"/>
                                          <w:u w:val="single"/>
                                          <w:bdr w:val="none" w:sz="0" w:space="0" w:color="auto" w:frame="1"/>
                                          <w:lang w:eastAsia="en-GB"/>
                                        </w:rPr>
                                        <w:t>Read the latest information on NQ Awarding 2021-22</w:t>
                                      </w:r>
                                    </w:hyperlink>
                                  </w:p>
                                </w:tc>
                              </w:tr>
                            </w:tbl>
                            <w:p w14:paraId="36938864"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r w:rsidR="001D17F5" w:rsidRPr="001D17F5" w14:paraId="08E95CD3" w14:textId="77777777">
                          <w:trPr>
                            <w:trHeight w:val="300"/>
                            <w:jc w:val="center"/>
                          </w:trPr>
                          <w:tc>
                            <w:tcPr>
                              <w:tcW w:w="0" w:type="auto"/>
                              <w:vAlign w:val="center"/>
                              <w:hideMark/>
                            </w:tcPr>
                            <w:p w14:paraId="52405428" w14:textId="77777777" w:rsidR="001D17F5" w:rsidRPr="001D17F5" w:rsidRDefault="001D17F5" w:rsidP="001D17F5">
                              <w:pPr>
                                <w:spacing w:after="0" w:line="240" w:lineRule="auto"/>
                                <w:jc w:val="center"/>
                                <w:rPr>
                                  <w:rFonts w:ascii="Calibri" w:eastAsia="Times New Roman" w:hAnsi="Calibri" w:cs="Calibri"/>
                                  <w:lang w:eastAsia="en-GB"/>
                                </w:rPr>
                              </w:pPr>
                              <w:r w:rsidRPr="001D17F5">
                                <w:rPr>
                                  <w:rFonts w:ascii="inherit" w:eastAsia="Times New Roman" w:hAnsi="inherit" w:cs="Calibri"/>
                                  <w:sz w:val="2"/>
                                  <w:szCs w:val="2"/>
                                  <w:bdr w:val="none" w:sz="0" w:space="0" w:color="auto" w:frame="1"/>
                                  <w:lang w:eastAsia="en-GB"/>
                                </w:rPr>
                                <w:t> </w:t>
                              </w:r>
                            </w:p>
                          </w:tc>
                        </w:tr>
                      </w:tbl>
                      <w:p w14:paraId="7B9AB967"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bl>
                <w:p w14:paraId="7CFD22BE"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bl>
          <w:p w14:paraId="057D183C" w14:textId="77777777" w:rsidR="001D17F5" w:rsidRPr="001D17F5" w:rsidRDefault="001D17F5" w:rsidP="001D17F5">
            <w:pPr>
              <w:spacing w:after="0" w:line="240" w:lineRule="auto"/>
              <w:jc w:val="center"/>
              <w:textAlignment w:val="baseline"/>
              <w:rPr>
                <w:rFonts w:ascii="Times New Roman" w:eastAsia="Times New Roman" w:hAnsi="Times New Roman" w:cs="Times New Roman"/>
                <w:sz w:val="24"/>
                <w:szCs w:val="24"/>
                <w:lang w:eastAsia="en-GB"/>
              </w:rPr>
            </w:pPr>
          </w:p>
        </w:tc>
      </w:tr>
    </w:tbl>
    <w:p w14:paraId="39A7B133" w14:textId="77777777" w:rsidR="001D17F5" w:rsidRPr="001D17F5" w:rsidRDefault="001D17F5" w:rsidP="001D17F5">
      <w:pPr>
        <w:shd w:val="clear" w:color="auto" w:fill="FFFFFF"/>
        <w:spacing w:after="0" w:line="240" w:lineRule="auto"/>
        <w:rPr>
          <w:rFonts w:ascii="Calibri" w:eastAsia="Times New Roman" w:hAnsi="Calibri" w:cs="Calibri"/>
          <w:color w:val="201F1E"/>
          <w:lang w:eastAsia="en-GB"/>
        </w:rPr>
      </w:pPr>
      <w:r w:rsidRPr="001D17F5">
        <w:rPr>
          <w:rFonts w:ascii="Calibri" w:eastAsia="Times New Roman" w:hAnsi="Calibri" w:cs="Calibri"/>
          <w:color w:val="201F1E"/>
          <w:bdr w:val="none" w:sz="0" w:space="0" w:color="auto" w:frame="1"/>
          <w:lang w:eastAsia="en-GB"/>
        </w:rPr>
        <w:lastRenderedPageBreak/>
        <w:t> </w:t>
      </w:r>
    </w:p>
    <w:p w14:paraId="50F59A25" w14:textId="77777777" w:rsidR="001D17F5" w:rsidRDefault="001D17F5"/>
    <w:sectPr w:rsidR="001D1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F5"/>
    <w:rsid w:val="001D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C5D4"/>
  <w15:chartTrackingRefBased/>
  <w15:docId w15:val="{E307E97A-E84F-4E4B-BF6E-50959B38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D1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D1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17F5"/>
    <w:rPr>
      <w:b/>
      <w:bCs/>
    </w:rPr>
  </w:style>
  <w:style w:type="character" w:styleId="Hyperlink">
    <w:name w:val="Hyperlink"/>
    <w:basedOn w:val="DefaultParagraphFont"/>
    <w:uiPriority w:val="99"/>
    <w:semiHidden/>
    <w:unhideWhenUsed/>
    <w:rsid w:val="001D1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25978">
      <w:bodyDiv w:val="1"/>
      <w:marLeft w:val="0"/>
      <w:marRight w:val="0"/>
      <w:marTop w:val="0"/>
      <w:marBottom w:val="0"/>
      <w:divBdr>
        <w:top w:val="none" w:sz="0" w:space="0" w:color="auto"/>
        <w:left w:val="none" w:sz="0" w:space="0" w:color="auto"/>
        <w:bottom w:val="none" w:sz="0" w:space="0" w:color="auto"/>
        <w:right w:val="none" w:sz="0" w:space="0" w:color="auto"/>
      </w:divBdr>
      <w:divsChild>
        <w:div w:id="201079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ges2.sqa.org.uk/dc/NbVS44I-w0O9BMo0SOPrk9WUUuGo9YjMbQqXhFhaFaEe3aV_KoUwq9H9h9ew3K4QHeEMDrBiJGLNqrp-FMvHPu-PqnQdzKMjJkbGg1uEKq4nsYTvcYD5sfkxlWfRzqq28sOg-TlJaYNAGYjak5z72E08zzyCY89uyzjWC81TLtmjsSRexgNkPEuJo5atcFr-R572yOnGgI6Lk2vP-UoFHg==/NTA1LVlCSC0zMDAAAAGBU0CoIhnNCDn9YDEqvpMlP132yvQgMZTWXQyodG7P3kUWifCh2SVQFOHBQV8HiwcSudKzF2k=" TargetMode="External"/><Relationship Id="rId5" Type="http://schemas.openxmlformats.org/officeDocument/2006/relationships/hyperlink" Target="https://pages2.sqa.org.uk/dc/NbVS44I-w0O9BMo0SOPrk9WUUuGo9YjMbQqXhFhaFaEe3aV_KoUwq9H9h9ew3K4QHeEMDrBiJGLNqrp-FMvHPu-PqnQdzKMjJkbGg1uEKq4nsYTvcYD5sfkxlWfRzqq28sOg-TlJaYNAGYjak5z72E08zzyCY89uyzjWC81TLtmjsSRexgNkPEuJo5atcFr-R572yOnGgI6Lk2vP-UoFHg==/NTA1LVlCSC0zMDAAAAGBU0CoIhnNCDn9YDEqvpMlP132yvQgMZTWXQyodG7P3kUWifCh2SVQFOHBQV8HiwcSudKzF2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McKenna</dc:creator>
  <cp:keywords/>
  <dc:description/>
  <cp:lastModifiedBy>Mr McKenna</cp:lastModifiedBy>
  <cp:revision>1</cp:revision>
  <dcterms:created xsi:type="dcterms:W3CDTF">2021-12-13T17:36:00Z</dcterms:created>
  <dcterms:modified xsi:type="dcterms:W3CDTF">2021-12-13T17:36:00Z</dcterms:modified>
</cp:coreProperties>
</file>